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2"/>
        </w:rPr>
      </w:pPr>
    </w:p>
    <w:p>
      <w:pPr>
        <w:pStyle w:val="BodyText"/>
        <w:spacing w:line="358" w:lineRule="exact"/>
        <w:ind w:left="100"/>
      </w:pPr>
      <w:r>
        <w:rPr>
          <w:color w:val="6C5E86"/>
        </w:rPr>
        <w:t>TRIGGER</w:t>
      </w:r>
      <w:r>
        <w:rPr>
          <w:color w:val="6C5E86"/>
          <w:spacing w:val="-3"/>
        </w:rPr>
        <w:t> </w:t>
      </w:r>
      <w:r>
        <w:rPr>
          <w:color w:val="6C5E86"/>
        </w:rPr>
        <w:t>TERM</w:t>
      </w:r>
    </w:p>
    <w:p>
      <w:pPr>
        <w:pStyle w:val="Title"/>
      </w:pPr>
      <w:r>
        <w:rPr/>
        <w:t>Equity</w:t>
      </w:r>
    </w:p>
    <w:p>
      <w:pPr>
        <w:spacing w:line="240" w:lineRule="auto" w:before="11" w:after="0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10262"/>
      </w:tblGrid>
      <w:tr>
        <w:trPr>
          <w:trHeight w:val="570" w:hRule="atLeast"/>
        </w:trPr>
        <w:tc>
          <w:tcPr>
            <w:tcW w:w="3416" w:type="dxa"/>
            <w:shd w:val="clear" w:color="auto" w:fill="F4793C"/>
          </w:tcPr>
          <w:p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HARMFUL</w:t>
            </w:r>
            <w:r>
              <w:rPr>
                <w:b/>
                <w:color w:val="FFFFFF"/>
                <w:spacing w:val="-3"/>
                <w:sz w:val="28"/>
              </w:rPr>
              <w:t> </w:t>
            </w:r>
            <w:r>
              <w:rPr>
                <w:b/>
                <w:color w:val="FFFFFF"/>
                <w:sz w:val="28"/>
              </w:rPr>
              <w:t>DETOUR</w:t>
            </w:r>
          </w:p>
        </w:tc>
        <w:tc>
          <w:tcPr>
            <w:tcW w:w="10262" w:type="dxa"/>
            <w:shd w:val="clear" w:color="auto" w:fill="E0EAF7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HEALING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REDIRECT</w:t>
            </w:r>
          </w:p>
        </w:tc>
      </w:tr>
      <w:tr>
        <w:trPr>
          <w:trHeight w:val="1401" w:hRule="atLeast"/>
        </w:trPr>
        <w:tc>
          <w:tcPr>
            <w:tcW w:w="3416" w:type="dxa"/>
            <w:shd w:val="clear" w:color="auto" w:fill="FDF1EB"/>
          </w:tcPr>
          <w:p>
            <w:pPr>
              <w:pStyle w:val="TableParagraph"/>
              <w:spacing w:line="204" w:lineRule="auto" w:before="103"/>
              <w:ind w:left="158" w:right="27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“Equity” is just another way to</w:t>
            </w:r>
            <w:r>
              <w:rPr>
                <w:color w:val="202020"/>
                <w:spacing w:val="-52"/>
                <w:sz w:val="24"/>
              </w:rPr>
              <w:t> </w:t>
            </w:r>
            <w:r>
              <w:rPr>
                <w:color w:val="202020"/>
                <w:sz w:val="24"/>
              </w:rPr>
              <w:t>say “equality.” Equity is about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treating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everyone</w:t>
            </w:r>
            <w:r>
              <w:rPr>
                <w:color w:val="202020"/>
                <w:spacing w:val="-3"/>
                <w:sz w:val="24"/>
              </w:rPr>
              <w:t> </w:t>
            </w:r>
            <w:r>
              <w:rPr>
                <w:color w:val="202020"/>
                <w:sz w:val="24"/>
              </w:rPr>
              <w:t>the same.</w:t>
            </w:r>
          </w:p>
        </w:tc>
        <w:tc>
          <w:tcPr>
            <w:tcW w:w="10262" w:type="dxa"/>
            <w:shd w:val="clear" w:color="auto" w:fill="F6F8FB"/>
          </w:tcPr>
          <w:p>
            <w:pPr>
              <w:pStyle w:val="TableParagraph"/>
              <w:spacing w:line="204" w:lineRule="auto" w:before="103"/>
              <w:ind w:right="280"/>
              <w:rPr>
                <w:sz w:val="24"/>
              </w:rPr>
            </w:pPr>
            <w:r>
              <w:rPr>
                <w:sz w:val="24"/>
              </w:rPr>
              <w:t>Equality and equity represent two distinct goals for building a fair and just society. Equality is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ensuring everyone receives the </w:t>
            </w:r>
            <w:r>
              <w:rPr>
                <w:i/>
                <w:sz w:val="24"/>
              </w:rPr>
              <w:t>same </w:t>
            </w:r>
            <w:r>
              <w:rPr>
                <w:sz w:val="24"/>
              </w:rPr>
              <w:t>treatment, resources and opportunities. Equity is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promoting equal </w:t>
            </w:r>
            <w:r>
              <w:rPr>
                <w:i/>
                <w:sz w:val="24"/>
              </w:rPr>
              <w:t>outcomes </w:t>
            </w:r>
            <w:r>
              <w:rPr>
                <w:sz w:val="24"/>
              </w:rPr>
              <w:t>for social groups by proportionally addressing differences in needs, while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dismantling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differences.</w:t>
            </w:r>
          </w:p>
        </w:tc>
      </w:tr>
      <w:tr>
        <w:trPr>
          <w:trHeight w:val="1482" w:hRule="atLeast"/>
        </w:trPr>
        <w:tc>
          <w:tcPr>
            <w:tcW w:w="3416" w:type="dxa"/>
            <w:shd w:val="clear" w:color="auto" w:fill="FDF1EB"/>
          </w:tcPr>
          <w:p>
            <w:pPr>
              <w:pStyle w:val="TableParagraph"/>
              <w:spacing w:line="204" w:lineRule="auto" w:before="106"/>
              <w:ind w:left="158" w:right="217"/>
              <w:rPr>
                <w:sz w:val="24"/>
              </w:rPr>
            </w:pPr>
            <w:r>
              <w:rPr>
                <w:color w:val="202020"/>
                <w:sz w:val="24"/>
              </w:rPr>
              <w:t>Equity and equality are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opposite concepts. Equity is an</w:t>
            </w:r>
            <w:r>
              <w:rPr>
                <w:color w:val="202020"/>
                <w:spacing w:val="-53"/>
                <w:sz w:val="24"/>
              </w:rPr>
              <w:t> </w:t>
            </w:r>
            <w:r>
              <w:rPr>
                <w:color w:val="202020"/>
                <w:sz w:val="24"/>
              </w:rPr>
              <w:t>attack on our society’s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commitment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to</w:t>
            </w:r>
            <w:r>
              <w:rPr>
                <w:color w:val="202020"/>
                <w:spacing w:val="-2"/>
                <w:sz w:val="24"/>
              </w:rPr>
              <w:t> </w:t>
            </w:r>
            <w:r>
              <w:rPr>
                <w:color w:val="202020"/>
                <w:sz w:val="24"/>
              </w:rPr>
              <w:t>equality.</w:t>
            </w:r>
          </w:p>
        </w:tc>
        <w:tc>
          <w:tcPr>
            <w:tcW w:w="10262" w:type="dxa"/>
            <w:shd w:val="clear" w:color="auto" w:fill="F6F8FB"/>
          </w:tcPr>
          <w:p>
            <w:pPr>
              <w:pStyle w:val="TableParagraph"/>
              <w:spacing w:line="204" w:lineRule="auto" w:before="106"/>
              <w:ind w:right="475"/>
              <w:rPr>
                <w:sz w:val="24"/>
              </w:rPr>
            </w:pPr>
            <w:r>
              <w:rPr>
                <w:sz w:val="24"/>
              </w:rPr>
              <w:t>Equity and equality are not opposing. Though </w:t>
            </w:r>
            <w:r>
              <w:rPr>
                <w:i/>
                <w:sz w:val="24"/>
              </w:rPr>
              <w:t>fostering </w:t>
            </w:r>
            <w:r>
              <w:rPr>
                <w:sz w:val="24"/>
              </w:rPr>
              <w:t>equity requires treating groups differently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 on societal advantages or disadvantages, </w:t>
            </w:r>
            <w:r>
              <w:rPr>
                <w:i/>
                <w:sz w:val="24"/>
              </w:rPr>
              <w:t>achieving </w:t>
            </w:r>
            <w:r>
              <w:rPr>
                <w:sz w:val="24"/>
              </w:rPr>
              <w:t>equity results in a level playing field. In 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truly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opportunities,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 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</w:tr>
      <w:tr>
        <w:trPr>
          <w:trHeight w:val="1581" w:hRule="atLeast"/>
        </w:trPr>
        <w:tc>
          <w:tcPr>
            <w:tcW w:w="3416" w:type="dxa"/>
            <w:shd w:val="clear" w:color="auto" w:fill="FDF1EB"/>
          </w:tcPr>
          <w:p>
            <w:pPr>
              <w:pStyle w:val="TableParagraph"/>
              <w:spacing w:line="204" w:lineRule="auto" w:before="104"/>
              <w:ind w:left="158" w:right="878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“Equity” is just a trendy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buzzword without a real</w:t>
            </w:r>
            <w:r>
              <w:rPr>
                <w:color w:val="202020"/>
                <w:spacing w:val="-52"/>
                <w:sz w:val="24"/>
              </w:rPr>
              <w:t> </w:t>
            </w:r>
            <w:r>
              <w:rPr>
                <w:color w:val="202020"/>
                <w:sz w:val="24"/>
              </w:rPr>
              <w:t>meaning.</w:t>
            </w:r>
          </w:p>
        </w:tc>
        <w:tc>
          <w:tcPr>
            <w:tcW w:w="10262" w:type="dxa"/>
            <w:shd w:val="clear" w:color="auto" w:fill="F6F8FB"/>
          </w:tcPr>
          <w:p>
            <w:pPr>
              <w:pStyle w:val="TableParagraph"/>
              <w:spacing w:line="204" w:lineRule="auto" w:before="104"/>
              <w:ind w:right="56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not only possible but critical to measure and identify inequity in concrete terms. By tracking key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metrics over time, leaders in numerous sectors – such as </w:t>
            </w:r>
            <w:hyperlink r:id="rId5">
              <w:r>
                <w:rPr>
                  <w:color w:val="0462C1"/>
                  <w:sz w:val="24"/>
                  <w:u w:val="single" w:color="0462C1"/>
                </w:rPr>
                <w:t>health</w:t>
              </w:r>
              <w:r>
                <w:rPr>
                  <w:color w:val="0462C1"/>
                  <w:sz w:val="24"/>
                </w:rPr>
                <w:t> </w:t>
              </w:r>
            </w:hyperlink>
            <w:r>
              <w:rPr>
                <w:sz w:val="24"/>
              </w:rPr>
              <w:t>and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education</w:t>
              </w:r>
              <w:r>
                <w:rPr>
                  <w:color w:val="0462C1"/>
                  <w:sz w:val="24"/>
                </w:rPr>
                <w:t> </w:t>
              </w:r>
            </w:hyperlink>
            <w:r>
              <w:rPr>
                <w:sz w:val="24"/>
              </w:rPr>
              <w:t>– are leveraging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evidence-based solutions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surfacing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addressing equity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barriers.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  <w:r>
        <w:rPr/>
        <w:pict>
          <v:rect style="position:absolute;margin-left:54pt;margin-top:21.215626pt;width:682.15pt;height:3.55pt;mso-position-horizontal-relative:page;mso-position-vertical-relative:paragraph;z-index:-15728640;mso-wrap-distance-left:0;mso-wrap-distance-right:0" id="docshape1" filled="true" fillcolor="#6c5e86" stroked="false">
            <v:fill type="solid"/>
            <w10:wrap type="topAndBottom"/>
          </v:rect>
        </w:pict>
      </w:r>
    </w:p>
    <w:p>
      <w:pPr>
        <w:spacing w:line="240" w:lineRule="auto" w:before="11"/>
        <w:rPr>
          <w:sz w:val="15"/>
        </w:rPr>
      </w:pPr>
    </w:p>
    <w:p>
      <w:pPr>
        <w:pStyle w:val="BodyText"/>
        <w:spacing w:line="359" w:lineRule="exact"/>
        <w:ind w:right="122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</wp:posOffset>
            </wp:positionH>
            <wp:positionV relativeFrom="paragraph">
              <wp:posOffset>-4528</wp:posOffset>
            </wp:positionV>
            <wp:extent cx="1486535" cy="7435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Trigger</w:t>
      </w:r>
      <w:r>
        <w:rPr>
          <w:spacing w:val="3"/>
        </w:rPr>
        <w:t> </w:t>
      </w:r>
      <w:r>
        <w:rPr/>
        <w:t>Terms:</w:t>
      </w:r>
      <w:r>
        <w:rPr>
          <w:spacing w:val="2"/>
        </w:rPr>
        <w:t> </w:t>
      </w:r>
      <w:r>
        <w:rPr/>
        <w:t>Harmful</w:t>
      </w:r>
      <w:r>
        <w:rPr>
          <w:spacing w:val="3"/>
        </w:rPr>
        <w:t> </w:t>
      </w:r>
      <w:r>
        <w:rPr/>
        <w:t>Detours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Healing</w:t>
      </w:r>
      <w:r>
        <w:rPr>
          <w:spacing w:val="3"/>
        </w:rPr>
        <w:t> </w:t>
      </w:r>
      <w:r>
        <w:rPr/>
        <w:t>Redirects</w:t>
      </w:r>
    </w:p>
    <w:p>
      <w:pPr>
        <w:spacing w:line="319" w:lineRule="exact" w:before="0"/>
        <w:ind w:left="0" w:right="114" w:firstLine="0"/>
        <w:jc w:val="right"/>
        <w:rPr>
          <w:sz w:val="24"/>
        </w:rPr>
      </w:pPr>
      <w:r>
        <w:rPr>
          <w:sz w:val="24"/>
        </w:rPr>
        <w:t>©2021</w:t>
      </w:r>
      <w:r>
        <w:rPr>
          <w:spacing w:val="-3"/>
          <w:sz w:val="24"/>
        </w:rPr>
        <w:t> </w:t>
      </w:r>
      <w:r>
        <w:rPr>
          <w:sz w:val="24"/>
        </w:rPr>
        <w:t>Urban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▪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3"/>
          <w:sz w:val="24"/>
        </w:rPr>
        <w:t> </w:t>
      </w:r>
      <w:r>
        <w:rPr>
          <w:sz w:val="24"/>
        </w:rPr>
        <w:t>Updated:</w:t>
      </w:r>
      <w:r>
        <w:rPr>
          <w:spacing w:val="-5"/>
          <w:sz w:val="24"/>
        </w:rPr>
        <w:t> </w:t>
      </w:r>
      <w:r>
        <w:rPr>
          <w:sz w:val="24"/>
        </w:rPr>
        <w:t>8/24/21</w:t>
      </w:r>
    </w:p>
    <w:p>
      <w:pPr>
        <w:spacing w:before="215"/>
        <w:ind w:left="8880" w:right="0" w:firstLine="0"/>
        <w:jc w:val="left"/>
        <w:rPr>
          <w:i/>
          <w:sz w:val="24"/>
        </w:rPr>
      </w:pPr>
      <w:r>
        <w:rPr>
          <w:i/>
          <w:sz w:val="24"/>
        </w:rPr>
        <w:t>Learn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hyperlink r:id="rId8">
        <w:r>
          <w:rPr>
            <w:i/>
            <w:sz w:val="24"/>
            <w:u w:val="single" w:color="F4793C"/>
          </w:rPr>
          <w:t>urbanlibraries.org/healing-redirects</w:t>
        </w:r>
      </w:hyperlink>
    </w:p>
    <w:sectPr>
      <w:type w:val="continuous"/>
      <w:pgSz w:w="15840" w:h="12240" w:orient="landscape"/>
      <w:pgMar w:top="11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21" w:lineRule="exact"/>
      <w:ind w:left="100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5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who.int/data/gho/data/indicators/indicators-index" TargetMode="External"/><Relationship Id="rId6" Type="http://schemas.openxmlformats.org/officeDocument/2006/relationships/hyperlink" Target="http://uis.unesco.org/en/topic/equity-education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urbanlibraries.org/healing-redirect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2021-12-01T04:52:42Z</dcterms:created>
  <dcterms:modified xsi:type="dcterms:W3CDTF">2021-12-01T04:52:42Z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2021-12-01T00:00:00Z</vt:filetime>
  </property>
</Properties>
</file>