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E9F28B4" w14:paraId="2C078E63" wp14:textId="6AE52B7A">
      <w:pPr>
        <w:pStyle w:val="Heading1"/>
        <w:rPr>
          <w:rFonts w:ascii="Calibri Light" w:hAnsi="Calibri Light" w:eastAsia="" w:cs=""/>
          <w:b w:val="1"/>
          <w:bCs w:val="1"/>
          <w:color w:val="2F5496" w:themeColor="accent1" w:themeTint="FF" w:themeShade="BF"/>
          <w:sz w:val="32"/>
          <w:szCs w:val="32"/>
        </w:rPr>
      </w:pPr>
      <w:bookmarkStart w:name="_GoBack" w:id="0"/>
      <w:bookmarkEnd w:id="0"/>
      <w:r w:rsidR="45283A46">
        <w:rPr/>
        <w:t>Discover Summer 202</w:t>
      </w:r>
      <w:r w:rsidR="423D95CA">
        <w:rPr/>
        <w:t>3</w:t>
      </w:r>
      <w:r w:rsidR="45283A46">
        <w:rPr/>
        <w:t xml:space="preserve"> Goals</w:t>
      </w:r>
    </w:p>
    <w:p w:rsidR="045FB8A6" w:rsidP="045FB8A6" w:rsidRDefault="045FB8A6" w14:paraId="04D89C9A" w14:textId="0544F9F7">
      <w:pPr>
        <w:pStyle w:val="Normal"/>
        <w:rPr>
          <w:b w:val="1"/>
          <w:bCs w:val="1"/>
        </w:rPr>
      </w:pPr>
    </w:p>
    <w:p w:rsidR="45283A46" w:rsidP="0E9F28B4" w:rsidRDefault="45283A46" w14:paraId="0D0EBE02" w14:textId="6566D72B">
      <w:pPr>
        <w:pStyle w:val="Normal"/>
        <w:rPr>
          <w:b w:val="1"/>
          <w:bCs w:val="1"/>
        </w:rPr>
      </w:pPr>
      <w:r w:rsidRPr="045FB8A6" w:rsidR="45283A46">
        <w:rPr>
          <w:b w:val="1"/>
          <w:bCs w:val="1"/>
        </w:rPr>
        <w:t>Improve learning retention for students over the summer by offering opportunities for them to practice skills related to reading</w:t>
      </w:r>
      <w:r w:rsidRPr="045FB8A6" w:rsidR="67E680BA">
        <w:rPr>
          <w:b w:val="1"/>
          <w:bCs w:val="1"/>
        </w:rPr>
        <w:t>,</w:t>
      </w:r>
      <w:r w:rsidRPr="045FB8A6" w:rsidR="45283A46">
        <w:rPr>
          <w:b w:val="1"/>
          <w:bCs w:val="1"/>
        </w:rPr>
        <w:t xml:space="preserve"> STEM</w:t>
      </w:r>
      <w:r w:rsidRPr="045FB8A6" w:rsidR="2CBB22F4">
        <w:rPr>
          <w:b w:val="1"/>
          <w:bCs w:val="1"/>
        </w:rPr>
        <w:t>, and social and emotional learning</w:t>
      </w:r>
      <w:r w:rsidRPr="045FB8A6" w:rsidR="45283A46">
        <w:rPr>
          <w:b w:val="1"/>
          <w:bCs w:val="1"/>
        </w:rPr>
        <w:t>.</w:t>
      </w:r>
    </w:p>
    <w:p w:rsidR="3A52C2CB" w:rsidP="0E9F28B4" w:rsidRDefault="3A52C2CB" w14:paraId="42348699" w14:textId="6C5DE0C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="3A52C2CB">
        <w:rPr/>
        <w:t>Design summer learning booklets that motivate students to continue learning over the summer.</w:t>
      </w:r>
    </w:p>
    <w:p w:rsidR="3A52C2CB" w:rsidP="0E9F28B4" w:rsidRDefault="3A52C2CB" w14:paraId="35F54FD9" w14:textId="6F4FAE41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3A52C2CB">
        <w:rPr/>
        <w:t>Organize system-wide programming support that improves physical accessibility of activities from the booklets</w:t>
      </w:r>
    </w:p>
    <w:p w:rsidR="34DF4ED5" w:rsidP="045FB8A6" w:rsidRDefault="34DF4ED5" w14:paraId="7B698ED9" w14:textId="2FCC5F0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="34DF4ED5">
        <w:rPr/>
        <w:t>Promote program engagement by developing an incentive structure that motivates youth to complete the challenge and enjoy the summer learning journey.</w:t>
      </w:r>
    </w:p>
    <w:p w:rsidR="6C38B44E" w:rsidP="0E9F28B4" w:rsidRDefault="6C38B44E" w14:paraId="37EC4152" w14:textId="30622B5E">
      <w:pPr>
        <w:pStyle w:val="Normal"/>
        <w:rPr>
          <w:b w:val="1"/>
          <w:bCs w:val="1"/>
        </w:rPr>
      </w:pPr>
      <w:r w:rsidRPr="045FB8A6" w:rsidR="6C38B44E">
        <w:rPr>
          <w:b w:val="1"/>
          <w:bCs w:val="1"/>
        </w:rPr>
        <w:t>Strengthen community ties by engaging with partners</w:t>
      </w:r>
      <w:r w:rsidRPr="045FB8A6" w:rsidR="2697A24F">
        <w:rPr>
          <w:b w:val="1"/>
          <w:bCs w:val="1"/>
        </w:rPr>
        <w:t xml:space="preserve"> and the community</w:t>
      </w:r>
      <w:r w:rsidRPr="045FB8A6" w:rsidR="6C38B44E">
        <w:rPr>
          <w:b w:val="1"/>
          <w:bCs w:val="1"/>
        </w:rPr>
        <w:t xml:space="preserve"> to plan and produce summer learning activities.</w:t>
      </w:r>
    </w:p>
    <w:p w:rsidR="1FAED680" w:rsidP="045FB8A6" w:rsidRDefault="1FAED680" w14:paraId="62C67956" w14:textId="189CA094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="1FAED680">
        <w:rPr>
          <w:b w:val="0"/>
          <w:bCs w:val="0"/>
        </w:rPr>
        <w:t>Collaborate with schools on program design</w:t>
      </w:r>
    </w:p>
    <w:p w:rsidR="1FAED680" w:rsidP="045FB8A6" w:rsidRDefault="1FAED680" w14:paraId="3BADA749" w14:textId="3E4FA548">
      <w:pPr>
        <w:pStyle w:val="ListParagraph"/>
        <w:numPr>
          <w:ilvl w:val="0"/>
          <w:numId w:val="4"/>
        </w:numPr>
        <w:rPr>
          <w:b w:val="1"/>
          <w:bCs w:val="1"/>
          <w:sz w:val="22"/>
          <w:szCs w:val="22"/>
        </w:rPr>
      </w:pPr>
      <w:r w:rsidR="1FAED680">
        <w:rPr/>
        <w:t>Collaborate with partners on booklet activities</w:t>
      </w:r>
    </w:p>
    <w:p w:rsidR="6C9FF597" w:rsidP="045FB8A6" w:rsidRDefault="6C9FF597" w14:paraId="0416174F" w14:textId="78A3D7E0">
      <w:pPr>
        <w:pStyle w:val="ListParagraph"/>
        <w:numPr>
          <w:ilvl w:val="0"/>
          <w:numId w:val="4"/>
        </w:numPr>
        <w:rPr>
          <w:b w:val="1"/>
          <w:bCs w:val="1"/>
          <w:sz w:val="22"/>
          <w:szCs w:val="22"/>
        </w:rPr>
      </w:pPr>
      <w:r w:rsidR="6C9FF597">
        <w:rPr/>
        <w:t>Bring Discover Summer program to summer camps and daycares through outreach</w:t>
      </w:r>
    </w:p>
    <w:p w:rsidR="1FAED680" w:rsidP="045FB8A6" w:rsidRDefault="1FAED680" w14:paraId="29121867" w14:textId="41314D76">
      <w:pPr>
        <w:pStyle w:val="ListParagraph"/>
        <w:numPr>
          <w:ilvl w:val="0"/>
          <w:numId w:val="4"/>
        </w:numPr>
        <w:rPr>
          <w:b w:val="1"/>
          <w:bCs w:val="1"/>
          <w:sz w:val="22"/>
          <w:szCs w:val="22"/>
        </w:rPr>
      </w:pPr>
      <w:r w:rsidR="1FAED680">
        <w:rPr/>
        <w:t>Host robust line-up of community presenters</w:t>
      </w:r>
    </w:p>
    <w:p w:rsidR="763A69A3" w:rsidP="0E9F28B4" w:rsidRDefault="763A69A3" w14:paraId="3BA5C7FD" w14:textId="23C78510">
      <w:pPr>
        <w:pStyle w:val="Normal"/>
        <w:rPr>
          <w:b w:val="1"/>
          <w:bCs w:val="1"/>
        </w:rPr>
      </w:pPr>
      <w:r w:rsidRPr="045FB8A6" w:rsidR="763A69A3">
        <w:rPr>
          <w:b w:val="1"/>
          <w:bCs w:val="1"/>
        </w:rPr>
        <w:t>Strengthen program impact and staff alignment by tying activities to system-wide priorities</w:t>
      </w:r>
      <w:r w:rsidRPr="045FB8A6" w:rsidR="039915CB">
        <w:rPr>
          <w:b w:val="1"/>
          <w:bCs w:val="1"/>
        </w:rPr>
        <w:t xml:space="preserve"> and offering opportunities to engage with program materials ahead of summer.</w:t>
      </w:r>
    </w:p>
    <w:p w:rsidR="53B97E41" w:rsidP="045FB8A6" w:rsidRDefault="53B97E41" w14:paraId="36D0F385" w14:textId="13B17630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45FB8A6" w:rsidR="039915CB">
        <w:rPr>
          <w:sz w:val="22"/>
          <w:szCs w:val="22"/>
        </w:rPr>
        <w:t>Strategic plan connection</w:t>
      </w:r>
      <w:r w:rsidRPr="045FB8A6" w:rsidR="4D2990AF">
        <w:rPr>
          <w:sz w:val="22"/>
          <w:szCs w:val="22"/>
        </w:rPr>
        <w:t xml:space="preserve"> (TBA)</w:t>
      </w:r>
    </w:p>
    <w:p w:rsidR="53B97E41" w:rsidP="045FB8A6" w:rsidRDefault="53B97E41" w14:paraId="183742A9" w14:textId="728B7AA0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sz w:val="22"/>
          <w:szCs w:val="22"/>
        </w:rPr>
      </w:pPr>
      <w:r w:rsidRPr="045FB8A6" w:rsidR="039915CB">
        <w:rPr>
          <w:sz w:val="22"/>
          <w:szCs w:val="22"/>
        </w:rPr>
        <w:t>Host learning sessions throughout the year to give staff opportunities to explore Discover Summer program goals and strategies for achieving goals</w:t>
      </w:r>
    </w:p>
    <w:p w:rsidR="53B97E41" w:rsidP="045FB8A6" w:rsidRDefault="53B97E41" w14:paraId="269CE68B" w14:textId="79B699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45FB8A6" w:rsidR="27F703F9">
        <w:rPr>
          <w:sz w:val="22"/>
          <w:szCs w:val="22"/>
        </w:rPr>
        <w:t>Tie staff training to social and emotional learning and how to support student SEL needs over the summer</w:t>
      </w:r>
    </w:p>
    <w:p w:rsidR="53B97E41" w:rsidP="045FB8A6" w:rsidRDefault="53B97E41" w14:paraId="2CD9E1A4" w14:textId="59A0118C">
      <w:pPr>
        <w:pStyle w:val="Normal"/>
        <w:ind w:left="0"/>
      </w:pPr>
      <w:r w:rsidRPr="045FB8A6" w:rsidR="53B97E41">
        <w:rPr>
          <w:b w:val="1"/>
          <w:bCs w:val="1"/>
        </w:rPr>
        <w:t>Measure</w:t>
      </w:r>
      <w:r w:rsidRPr="045FB8A6" w:rsidR="4FED8CA1">
        <w:rPr>
          <w:b w:val="1"/>
          <w:bCs w:val="1"/>
        </w:rPr>
        <w:t xml:space="preserve"> and plan for</w:t>
      </w:r>
      <w:r w:rsidRPr="045FB8A6" w:rsidR="53B97E41">
        <w:rPr>
          <w:b w:val="1"/>
          <w:bCs w:val="1"/>
        </w:rPr>
        <w:t xml:space="preserve"> program success by gathering input from customers and staff</w:t>
      </w:r>
    </w:p>
    <w:p w:rsidR="4DA12483" w:rsidP="045FB8A6" w:rsidRDefault="4DA12483" w14:paraId="432A191D" w14:textId="5CE18E3C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4DA12483">
        <w:rPr/>
        <w:t>Involve staff from each FMP Zone in Summer planning team</w:t>
      </w:r>
    </w:p>
    <w:p w:rsidR="53B97E41" w:rsidP="0E9F28B4" w:rsidRDefault="53B97E41" w14:paraId="57B90601" w14:textId="27AC796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="53B97E41">
        <w:rPr/>
        <w:t>Increase program “completion” from 5% in 2021 to 10% in 2022</w:t>
      </w:r>
      <w:r w:rsidR="6F39A72A">
        <w:rPr/>
        <w:t>, to 20% in 2023</w:t>
      </w:r>
      <w:r w:rsidR="53B97E41">
        <w:rPr/>
        <w:t xml:space="preserve"> (measured as the number of students who enter the grand prize drawing, out of the number of students who receive a free book)</w:t>
      </w:r>
    </w:p>
    <w:p w:rsidR="53B97E41" w:rsidP="045FB8A6" w:rsidRDefault="53B97E41" w14:paraId="3E9C426C" w14:textId="2C08212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="53B97E41">
        <w:rPr/>
        <w:t>Collect customer feedback through</w:t>
      </w:r>
      <w:r w:rsidR="53B97E41">
        <w:rPr/>
        <w:t xml:space="preserve"> </w:t>
      </w:r>
      <w:r w:rsidR="131C7830">
        <w:rPr/>
        <w:t>mid-point focus groups and grand prize entry forms</w:t>
      </w:r>
    </w:p>
    <w:p w:rsidR="4CD5E619" w:rsidP="0E9F28B4" w:rsidRDefault="4CD5E619" w14:paraId="01760DBD" w14:textId="1E2934D3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="4CD5E619">
        <w:rPr/>
        <w:t>Collect staff feedback through both mid-point and wrap-up survey</w:t>
      </w:r>
    </w:p>
    <w:p w:rsidR="0E9F28B4" w:rsidP="0E9F28B4" w:rsidRDefault="0E9F28B4" w14:paraId="5561B65C" w14:textId="575BE414">
      <w:pPr>
        <w:pStyle w:val="Normal"/>
        <w:rPr>
          <w:b w:val="1"/>
          <w:bCs w:val="1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80"/>
        <w:gridCol w:w="2205"/>
        <w:gridCol w:w="2235"/>
        <w:gridCol w:w="1668"/>
        <w:gridCol w:w="3435"/>
      </w:tblGrid>
      <w:tr w:rsidR="045FB8A6" w:rsidTr="28FD4E21" w14:paraId="1B22A69C">
        <w:tc>
          <w:tcPr>
            <w:tcW w:w="1380" w:type="dxa"/>
            <w:tcMar/>
            <w:vAlign w:val="top"/>
          </w:tcPr>
          <w:p w:rsidR="045FB8A6" w:rsidP="045FB8A6" w:rsidRDefault="045FB8A6" w14:paraId="04180C20" w14:textId="77F19F63">
            <w:pPr>
              <w:pStyle w:val="Normal"/>
              <w:jc w:val="center"/>
              <w:rPr>
                <w:b w:val="1"/>
                <w:bCs w:val="1"/>
              </w:rPr>
            </w:pPr>
            <w:r w:rsidRPr="045FB8A6" w:rsidR="045FB8A6">
              <w:rPr>
                <w:b w:val="1"/>
                <w:bCs w:val="1"/>
              </w:rPr>
              <w:t>Goal</w:t>
            </w:r>
          </w:p>
        </w:tc>
        <w:tc>
          <w:tcPr>
            <w:tcW w:w="2205" w:type="dxa"/>
            <w:tcMar/>
            <w:vAlign w:val="top"/>
          </w:tcPr>
          <w:p w:rsidR="045FB8A6" w:rsidP="045FB8A6" w:rsidRDefault="045FB8A6" w14:paraId="646E88C1" w14:textId="794A0434">
            <w:pPr>
              <w:pStyle w:val="Normal"/>
              <w:jc w:val="center"/>
              <w:rPr>
                <w:b w:val="1"/>
                <w:bCs w:val="1"/>
              </w:rPr>
            </w:pPr>
            <w:r w:rsidRPr="045FB8A6" w:rsidR="045FB8A6">
              <w:rPr>
                <w:b w:val="1"/>
                <w:bCs w:val="1"/>
              </w:rPr>
              <w:t>Method</w:t>
            </w:r>
          </w:p>
        </w:tc>
        <w:tc>
          <w:tcPr>
            <w:tcW w:w="2235" w:type="dxa"/>
            <w:tcMar/>
            <w:vAlign w:val="top"/>
          </w:tcPr>
          <w:p w:rsidR="045FB8A6" w:rsidP="045FB8A6" w:rsidRDefault="045FB8A6" w14:paraId="42ABD830" w14:textId="15459BEB">
            <w:pPr>
              <w:pStyle w:val="Normal"/>
              <w:jc w:val="center"/>
              <w:rPr>
                <w:b w:val="1"/>
                <w:bCs w:val="1"/>
              </w:rPr>
            </w:pPr>
            <w:r w:rsidRPr="045FB8A6" w:rsidR="045FB8A6">
              <w:rPr>
                <w:b w:val="1"/>
                <w:bCs w:val="1"/>
              </w:rPr>
              <w:t>Activity</w:t>
            </w:r>
          </w:p>
        </w:tc>
        <w:tc>
          <w:tcPr>
            <w:tcW w:w="1668" w:type="dxa"/>
            <w:tcMar/>
            <w:vAlign w:val="top"/>
          </w:tcPr>
          <w:p w:rsidR="045FB8A6" w:rsidP="045FB8A6" w:rsidRDefault="045FB8A6" w14:paraId="6B8FD00F" w14:textId="6048D6E8">
            <w:pPr>
              <w:pStyle w:val="Normal"/>
              <w:jc w:val="center"/>
              <w:rPr>
                <w:b w:val="1"/>
                <w:bCs w:val="1"/>
              </w:rPr>
            </w:pPr>
            <w:r w:rsidRPr="045FB8A6" w:rsidR="045FB8A6">
              <w:rPr>
                <w:b w:val="1"/>
                <w:bCs w:val="1"/>
              </w:rPr>
              <w:t>Measurement</w:t>
            </w:r>
          </w:p>
        </w:tc>
        <w:tc>
          <w:tcPr>
            <w:tcW w:w="3435" w:type="dxa"/>
            <w:tcMar/>
            <w:vAlign w:val="top"/>
          </w:tcPr>
          <w:p w:rsidR="045FB8A6" w:rsidP="045FB8A6" w:rsidRDefault="045FB8A6" w14:paraId="796854FD" w14:textId="1802EEF8">
            <w:pPr>
              <w:pStyle w:val="Normal"/>
              <w:jc w:val="center"/>
              <w:rPr>
                <w:b w:val="1"/>
                <w:bCs w:val="1"/>
              </w:rPr>
            </w:pPr>
            <w:r w:rsidRPr="045FB8A6" w:rsidR="045FB8A6">
              <w:rPr>
                <w:b w:val="1"/>
                <w:bCs w:val="1"/>
              </w:rPr>
              <w:t>Impact</w:t>
            </w:r>
          </w:p>
        </w:tc>
      </w:tr>
      <w:tr w:rsidR="045FB8A6" w:rsidTr="28FD4E21" w14:paraId="45A798F3">
        <w:tc>
          <w:tcPr>
            <w:tcW w:w="1380" w:type="dxa"/>
            <w:vMerge w:val="restart"/>
            <w:tcMar/>
            <w:vAlign w:val="center"/>
          </w:tcPr>
          <w:p w:rsidR="045FB8A6" w:rsidP="045FB8A6" w:rsidRDefault="045FB8A6" w14:paraId="593165D4" w14:textId="542928E7">
            <w:pPr>
              <w:pStyle w:val="Normal"/>
              <w:jc w:val="center"/>
            </w:pPr>
            <w:r w:rsidR="045FB8A6">
              <w:rPr/>
              <w:t>Improve learning retention</w:t>
            </w:r>
          </w:p>
        </w:tc>
        <w:tc>
          <w:tcPr>
            <w:tcW w:w="2205" w:type="dxa"/>
            <w:tcMar/>
          </w:tcPr>
          <w:p w:rsidR="045FB8A6" w:rsidP="045FB8A6" w:rsidRDefault="045FB8A6" w14:paraId="0B69A0D5" w14:textId="0EDBF3FD">
            <w:pPr>
              <w:pStyle w:val="Normal"/>
              <w:rPr>
                <w:sz w:val="22"/>
                <w:szCs w:val="22"/>
              </w:rPr>
            </w:pPr>
            <w:r w:rsidR="045FB8A6">
              <w:rPr/>
              <w:t>Design summer learning booklets that inspire &amp; engage</w:t>
            </w:r>
            <w:r w:rsidR="045FB8A6">
              <w:rPr/>
              <w:t xml:space="preserve"> youth</w:t>
            </w:r>
          </w:p>
        </w:tc>
        <w:tc>
          <w:tcPr>
            <w:tcW w:w="2235" w:type="dxa"/>
            <w:tcMar/>
          </w:tcPr>
          <w:p w:rsidR="045FB8A6" w:rsidP="045FB8A6" w:rsidRDefault="045FB8A6" w14:paraId="40B49288" w14:textId="7FE9F423">
            <w:pPr>
              <w:pStyle w:val="Normal"/>
            </w:pPr>
            <w:r w:rsidR="045FB8A6">
              <w:rPr/>
              <w:t>“Discovery Goals”</w:t>
            </w:r>
            <w:r w:rsidR="045FB8A6">
              <w:rPr/>
              <w:t xml:space="preserve"> and self-directed learning encourage youth to explore their own interests</w:t>
            </w:r>
          </w:p>
        </w:tc>
        <w:tc>
          <w:tcPr>
            <w:tcW w:w="1668" w:type="dxa"/>
            <w:tcMar/>
          </w:tcPr>
          <w:p w:rsidR="045FB8A6" w:rsidP="045FB8A6" w:rsidRDefault="045FB8A6" w14:paraId="742AF9CE" w14:textId="3224FFC8">
            <w:pPr>
              <w:pStyle w:val="Normal"/>
            </w:pPr>
            <w:r w:rsidR="045FB8A6">
              <w:rPr/>
              <w:t>3 age group booklets + 1 Spanish language booklet</w:t>
            </w:r>
          </w:p>
        </w:tc>
        <w:tc>
          <w:tcPr>
            <w:tcW w:w="3435" w:type="dxa"/>
            <w:tcMar/>
          </w:tcPr>
          <w:p w:rsidR="045FB8A6" w:rsidP="045FB8A6" w:rsidRDefault="045FB8A6" w14:paraId="30AEDC48" w14:textId="20151DA1">
            <w:pPr>
              <w:pStyle w:val="Normal"/>
            </w:pPr>
            <w:r w:rsidR="045FB8A6">
              <w:rPr/>
              <w:t>Youth are motivated to continue learning over the summer</w:t>
            </w:r>
            <w:r w:rsidR="045FB8A6">
              <w:rPr/>
              <w:t>. Youth believe that reading and learning are their own rewards</w:t>
            </w:r>
          </w:p>
        </w:tc>
      </w:tr>
      <w:tr w:rsidR="045FB8A6" w:rsidTr="28FD4E21" w14:paraId="51956542">
        <w:tc>
          <w:tcPr>
            <w:tcW w:w="1380" w:type="dxa"/>
            <w:vMerge/>
            <w:tcMar/>
          </w:tcPr>
          <w:p w14:paraId="109CD92D"/>
        </w:tc>
        <w:tc>
          <w:tcPr>
            <w:tcW w:w="2205" w:type="dxa"/>
            <w:tcMar/>
          </w:tcPr>
          <w:p w:rsidR="045FB8A6" w:rsidP="045FB8A6" w:rsidRDefault="045FB8A6" w14:paraId="0503649E" w14:textId="0E1C012D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highlight w:val="yellow"/>
              </w:rPr>
            </w:pPr>
            <w:r w:rsidRPr="045FB8A6" w:rsidR="045FB8A6">
              <w:rPr>
                <w:highlight w:val="yellow"/>
              </w:rPr>
              <w:t>Offer system-wide programming support and materials</w:t>
            </w:r>
          </w:p>
        </w:tc>
        <w:tc>
          <w:tcPr>
            <w:tcW w:w="2235" w:type="dxa"/>
            <w:tcMar/>
          </w:tcPr>
          <w:p w:rsidR="045FB8A6" w:rsidP="045FB8A6" w:rsidRDefault="045FB8A6" w14:paraId="36444765" w14:textId="0221B2D8">
            <w:pPr>
              <w:pStyle w:val="Normal"/>
            </w:pPr>
          </w:p>
        </w:tc>
        <w:tc>
          <w:tcPr>
            <w:tcW w:w="1668" w:type="dxa"/>
            <w:tcMar/>
          </w:tcPr>
          <w:p w:rsidR="045FB8A6" w:rsidP="045FB8A6" w:rsidRDefault="045FB8A6" w14:paraId="4BC135E2" w14:textId="60DF8C8E">
            <w:pPr>
              <w:pStyle w:val="Normal"/>
            </w:pPr>
          </w:p>
        </w:tc>
        <w:tc>
          <w:tcPr>
            <w:tcW w:w="3435" w:type="dxa"/>
            <w:tcMar/>
          </w:tcPr>
          <w:p w:rsidR="045FB8A6" w:rsidP="045FB8A6" w:rsidRDefault="045FB8A6" w14:paraId="59FCD9E4" w14:textId="0D8F6735">
            <w:pPr>
              <w:pStyle w:val="Normal"/>
            </w:pPr>
            <w:r w:rsidR="045FB8A6">
              <w:rPr/>
              <w:t>Youth are able to complete activities from the booklet</w:t>
            </w:r>
            <w:r w:rsidR="045FB8A6">
              <w:rPr/>
              <w:t>s</w:t>
            </w:r>
          </w:p>
        </w:tc>
      </w:tr>
      <w:tr w:rsidR="045FB8A6" w:rsidTr="28FD4E21" w14:paraId="2726D1D1">
        <w:tc>
          <w:tcPr>
            <w:tcW w:w="1380" w:type="dxa"/>
            <w:vMerge/>
            <w:tcMar/>
          </w:tcPr>
          <w:p w14:paraId="3027AB94"/>
        </w:tc>
        <w:tc>
          <w:tcPr>
            <w:tcW w:w="2205" w:type="dxa"/>
            <w:tcMar/>
          </w:tcPr>
          <w:p w:rsidR="045FB8A6" w:rsidP="045FB8A6" w:rsidRDefault="045FB8A6" w14:paraId="0518CBAE" w14:textId="24058339">
            <w:pPr>
              <w:pStyle w:val="Normal"/>
              <w:rPr>
                <w:highlight w:val="yellow"/>
              </w:rPr>
            </w:pPr>
            <w:r w:rsidRPr="045FB8A6" w:rsidR="045FB8A6">
              <w:rPr>
                <w:highlight w:val="yellow"/>
              </w:rPr>
              <w:t xml:space="preserve">Promote program engagement </w:t>
            </w:r>
            <w:r w:rsidRPr="045FB8A6" w:rsidR="045FB8A6">
              <w:rPr>
                <w:highlight w:val="yellow"/>
              </w:rPr>
              <w:t>through</w:t>
            </w:r>
            <w:r w:rsidRPr="045FB8A6" w:rsidR="045FB8A6">
              <w:rPr>
                <w:highlight w:val="yellow"/>
              </w:rPr>
              <w:t xml:space="preserve"> incentive structure and check-in process</w:t>
            </w:r>
          </w:p>
        </w:tc>
        <w:tc>
          <w:tcPr>
            <w:tcW w:w="2235" w:type="dxa"/>
            <w:tcMar/>
          </w:tcPr>
          <w:p w:rsidR="045FB8A6" w:rsidP="045FB8A6" w:rsidRDefault="045FB8A6" w14:paraId="59BF41BA" w14:textId="41DD9FC2">
            <w:pPr>
              <w:pStyle w:val="Normal"/>
            </w:pPr>
            <w:r w:rsidR="045FB8A6">
              <w:rPr/>
              <w:t>Standard “check-in” process excites youth to stick with the DS program</w:t>
            </w:r>
          </w:p>
        </w:tc>
        <w:tc>
          <w:tcPr>
            <w:tcW w:w="1668" w:type="dxa"/>
            <w:tcMar/>
          </w:tcPr>
          <w:p w:rsidR="045FB8A6" w:rsidP="045FB8A6" w:rsidRDefault="045FB8A6" w14:paraId="206C6C07" w14:textId="2997676D">
            <w:pPr>
              <w:pStyle w:val="Normal"/>
            </w:pPr>
          </w:p>
        </w:tc>
        <w:tc>
          <w:tcPr>
            <w:tcW w:w="3435" w:type="dxa"/>
            <w:tcMar/>
          </w:tcPr>
          <w:p w:rsidR="045FB8A6" w:rsidP="045FB8A6" w:rsidRDefault="045FB8A6" w14:paraId="7FAB9CF9" w14:textId="2E7A5558">
            <w:pPr>
              <w:pStyle w:val="Normal"/>
            </w:pPr>
            <w:r w:rsidR="045FB8A6">
              <w:rPr/>
              <w:t>Youth are motivated to complete the challenge. Youth enjoy the summer learning journey</w:t>
            </w:r>
            <w:r w:rsidR="045FB8A6">
              <w:rPr/>
              <w:t xml:space="preserve">. </w:t>
            </w:r>
          </w:p>
        </w:tc>
      </w:tr>
      <w:tr w:rsidR="045FB8A6" w:rsidTr="28FD4E21" w14:paraId="5B069A50">
        <w:tc>
          <w:tcPr>
            <w:tcW w:w="1380" w:type="dxa"/>
            <w:vMerge w:val="restart"/>
            <w:tcMar/>
            <w:vAlign w:val="center"/>
          </w:tcPr>
          <w:p w:rsidR="045FB8A6" w:rsidP="045FB8A6" w:rsidRDefault="045FB8A6" w14:paraId="2CEBCD5B" w14:textId="13EDE92D">
            <w:pPr>
              <w:pStyle w:val="Normal"/>
              <w:jc w:val="center"/>
            </w:pPr>
            <w:r w:rsidR="045FB8A6">
              <w:rPr/>
              <w:t>Strengthen community ties</w:t>
            </w:r>
          </w:p>
        </w:tc>
        <w:tc>
          <w:tcPr>
            <w:tcW w:w="2205" w:type="dxa"/>
            <w:tcMar/>
          </w:tcPr>
          <w:p w:rsidR="045FB8A6" w:rsidP="045FB8A6" w:rsidRDefault="045FB8A6" w14:paraId="53AE5DB4" w14:textId="6CA96131">
            <w:pPr>
              <w:pStyle w:val="Normal"/>
              <w:rPr>
                <w:highlight w:val="yellow"/>
              </w:rPr>
            </w:pPr>
            <w:r w:rsidRPr="045FB8A6" w:rsidR="045FB8A6">
              <w:rPr>
                <w:highlight w:val="yellow"/>
              </w:rPr>
              <w:t>Collaborate with schools on program design</w:t>
            </w:r>
          </w:p>
        </w:tc>
        <w:tc>
          <w:tcPr>
            <w:tcW w:w="2235" w:type="dxa"/>
            <w:tcMar/>
          </w:tcPr>
          <w:p w:rsidR="045FB8A6" w:rsidP="045FB8A6" w:rsidRDefault="045FB8A6" w14:paraId="09DDE3B0" w14:textId="481908E2">
            <w:pPr>
              <w:pStyle w:val="Normal"/>
            </w:pPr>
          </w:p>
        </w:tc>
        <w:tc>
          <w:tcPr>
            <w:tcW w:w="1668" w:type="dxa"/>
            <w:tcMar/>
          </w:tcPr>
          <w:p w:rsidR="045FB8A6" w:rsidP="045FB8A6" w:rsidRDefault="045FB8A6" w14:paraId="52638778" w14:textId="481908E2">
            <w:pPr>
              <w:pStyle w:val="Normal"/>
            </w:pPr>
          </w:p>
        </w:tc>
        <w:tc>
          <w:tcPr>
            <w:tcW w:w="3435" w:type="dxa"/>
            <w:tcMar/>
          </w:tcPr>
          <w:p w:rsidR="045FB8A6" w:rsidP="045FB8A6" w:rsidRDefault="045FB8A6" w14:paraId="4014B7D1" w14:textId="23F2DEB9">
            <w:pPr>
              <w:pStyle w:val="Normal"/>
            </w:pPr>
            <w:r w:rsidR="045FB8A6">
              <w:rPr/>
              <w:t>Discover Summer meets critical</w:t>
            </w:r>
            <w:r w:rsidR="045FB8A6">
              <w:rPr/>
              <w:t xml:space="preserve"> learning</w:t>
            </w:r>
            <w:r w:rsidR="045FB8A6">
              <w:rPr/>
              <w:t xml:space="preserve"> needs of students</w:t>
            </w:r>
          </w:p>
        </w:tc>
      </w:tr>
      <w:tr w:rsidR="045FB8A6" w:rsidTr="28FD4E21" w14:paraId="08199464">
        <w:tc>
          <w:tcPr>
            <w:tcW w:w="1380" w:type="dxa"/>
            <w:vMerge/>
            <w:tcMar/>
          </w:tcPr>
          <w:p w14:paraId="6029587E"/>
        </w:tc>
        <w:tc>
          <w:tcPr>
            <w:tcW w:w="2205" w:type="dxa"/>
            <w:tcMar/>
          </w:tcPr>
          <w:p w:rsidR="045FB8A6" w:rsidP="045FB8A6" w:rsidRDefault="045FB8A6" w14:paraId="7C84F41E" w14:textId="3B44AD77">
            <w:pPr>
              <w:pStyle w:val="Normal"/>
            </w:pPr>
            <w:r w:rsidR="045FB8A6">
              <w:rPr/>
              <w:t>Collaborate with partners on s</w:t>
            </w:r>
            <w:r w:rsidR="28929A6B">
              <w:rPr/>
              <w:t>ummer programming</w:t>
            </w:r>
          </w:p>
        </w:tc>
        <w:tc>
          <w:tcPr>
            <w:tcW w:w="2235" w:type="dxa"/>
            <w:tcMar/>
          </w:tcPr>
          <w:p w:rsidR="045FB8A6" w:rsidP="045FB8A6" w:rsidRDefault="045FB8A6" w14:paraId="0888CB5A" w14:textId="0724239D">
            <w:pPr>
              <w:pStyle w:val="Normal"/>
            </w:pPr>
            <w:r w:rsidR="045FB8A6">
              <w:rPr/>
              <w:t xml:space="preserve">Seek partner expertise </w:t>
            </w:r>
            <w:r w:rsidR="36A60040">
              <w:rPr/>
              <w:t>to meet a variety of youth learning needs</w:t>
            </w:r>
          </w:p>
        </w:tc>
        <w:tc>
          <w:tcPr>
            <w:tcW w:w="1668" w:type="dxa"/>
            <w:tcMar/>
          </w:tcPr>
          <w:p w:rsidR="045FB8A6" w:rsidP="045FB8A6" w:rsidRDefault="045FB8A6" w14:paraId="79BB08BA" w14:textId="0900D3B8">
            <w:pPr>
              <w:pStyle w:val="Normal"/>
            </w:pPr>
          </w:p>
        </w:tc>
        <w:tc>
          <w:tcPr>
            <w:tcW w:w="3435" w:type="dxa"/>
            <w:tcMar/>
          </w:tcPr>
          <w:p w:rsidR="045FB8A6" w:rsidP="045FB8A6" w:rsidRDefault="045FB8A6" w14:paraId="0AD26D77" w14:textId="01DB8954">
            <w:pPr>
              <w:pStyle w:val="Normal"/>
            </w:pPr>
            <w:r w:rsidR="045FB8A6">
              <w:rPr/>
              <w:t>There is a shared community-wide focus on summer learning</w:t>
            </w:r>
          </w:p>
          <w:p w:rsidR="045FB8A6" w:rsidP="045FB8A6" w:rsidRDefault="045FB8A6" w14:paraId="5E283A76" w14:textId="637D543A">
            <w:pPr>
              <w:pStyle w:val="Normal"/>
            </w:pPr>
            <w:r w:rsidR="270376B5">
              <w:rPr/>
              <w:t>Youth can connect with important community resources</w:t>
            </w:r>
          </w:p>
        </w:tc>
      </w:tr>
      <w:tr w:rsidR="045FB8A6" w:rsidTr="28FD4E21" w14:paraId="30E77C76">
        <w:tc>
          <w:tcPr>
            <w:tcW w:w="1380" w:type="dxa"/>
            <w:vMerge/>
            <w:tcMar/>
          </w:tcPr>
          <w:p w14:paraId="4E3181B0"/>
        </w:tc>
        <w:tc>
          <w:tcPr>
            <w:tcW w:w="2205" w:type="dxa"/>
            <w:tcMar/>
          </w:tcPr>
          <w:p w:rsidR="1B94447E" w:rsidP="045FB8A6" w:rsidRDefault="1B94447E" w14:paraId="039525BF" w14:textId="6FDC96F4">
            <w:pPr>
              <w:pStyle w:val="Normal"/>
            </w:pPr>
            <w:r w:rsidR="1B94447E">
              <w:rPr/>
              <w:t>Bring DS program to summer camps and daycares through outreach</w:t>
            </w:r>
          </w:p>
        </w:tc>
        <w:tc>
          <w:tcPr>
            <w:tcW w:w="2235" w:type="dxa"/>
            <w:tcMar/>
          </w:tcPr>
          <w:p w:rsidR="045FB8A6" w:rsidP="045FB8A6" w:rsidRDefault="045FB8A6" w14:paraId="43DA3D73" w14:textId="19F767D6">
            <w:pPr>
              <w:pStyle w:val="Normal"/>
            </w:pPr>
          </w:p>
        </w:tc>
        <w:tc>
          <w:tcPr>
            <w:tcW w:w="1668" w:type="dxa"/>
            <w:tcMar/>
          </w:tcPr>
          <w:p w:rsidR="045FB8A6" w:rsidP="045FB8A6" w:rsidRDefault="045FB8A6" w14:paraId="09EAADC6" w14:textId="1CA100D0">
            <w:pPr>
              <w:pStyle w:val="Normal"/>
            </w:pPr>
          </w:p>
        </w:tc>
        <w:tc>
          <w:tcPr>
            <w:tcW w:w="3435" w:type="dxa"/>
            <w:tcMar/>
          </w:tcPr>
          <w:p w:rsidR="1B94447E" w:rsidP="045FB8A6" w:rsidRDefault="1B94447E" w14:paraId="6370197B" w14:textId="7548DC50">
            <w:pPr>
              <w:pStyle w:val="Normal"/>
            </w:pPr>
            <w:r w:rsidR="1B94447E">
              <w:rPr/>
              <w:t>Youth have access to Discover Summer where they are</w:t>
            </w:r>
          </w:p>
        </w:tc>
      </w:tr>
      <w:tr w:rsidR="045FB8A6" w:rsidTr="28FD4E21" w14:paraId="307AE598">
        <w:tc>
          <w:tcPr>
            <w:tcW w:w="1380" w:type="dxa"/>
            <w:vMerge w:val="restart"/>
            <w:tcMar/>
            <w:vAlign w:val="center"/>
          </w:tcPr>
          <w:p w:rsidR="045FB8A6" w:rsidP="045FB8A6" w:rsidRDefault="045FB8A6" w14:paraId="32C7605C" w14:textId="39583CB7">
            <w:pPr>
              <w:pStyle w:val="Normal"/>
              <w:jc w:val="center"/>
            </w:pPr>
            <w:r w:rsidRPr="045FB8A6" w:rsidR="045FB8A6">
              <w:rPr>
                <w:highlight w:val="yellow"/>
              </w:rPr>
              <w:t xml:space="preserve">Strengthen program impact </w:t>
            </w:r>
            <w:r w:rsidRPr="045FB8A6" w:rsidR="045FB8A6">
              <w:rPr>
                <w:highlight w:val="yellow"/>
              </w:rPr>
              <w:t>through</w:t>
            </w:r>
            <w:r w:rsidRPr="045FB8A6" w:rsidR="045FB8A6">
              <w:rPr>
                <w:highlight w:val="yellow"/>
              </w:rPr>
              <w:t xml:space="preserve"> staff alignment</w:t>
            </w:r>
          </w:p>
        </w:tc>
        <w:tc>
          <w:tcPr>
            <w:tcW w:w="2205" w:type="dxa"/>
            <w:tcMar/>
          </w:tcPr>
          <w:p w:rsidR="045FB8A6" w:rsidP="28FD4E21" w:rsidRDefault="045FB8A6" w14:paraId="72C56790" w14:textId="535C82B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3C886482">
              <w:rPr/>
              <w:t xml:space="preserve">Implement a program that unlocks youth’s limitless learning potential </w:t>
            </w:r>
          </w:p>
        </w:tc>
        <w:tc>
          <w:tcPr>
            <w:tcW w:w="2235" w:type="dxa"/>
            <w:tcMar/>
          </w:tcPr>
          <w:p w:rsidR="045FB8A6" w:rsidP="045FB8A6" w:rsidRDefault="045FB8A6" w14:paraId="7A24707F" w14:textId="1B3C887E">
            <w:pPr>
              <w:pStyle w:val="Normal"/>
            </w:pPr>
            <w:r w:rsidR="5761C6C1">
              <w:rPr/>
              <w:t>Craft a mission statement in partnership with staff system-wide</w:t>
            </w:r>
          </w:p>
        </w:tc>
        <w:tc>
          <w:tcPr>
            <w:tcW w:w="1668" w:type="dxa"/>
            <w:tcMar/>
          </w:tcPr>
          <w:p w:rsidR="045FB8A6" w:rsidP="045FB8A6" w:rsidRDefault="045FB8A6" w14:paraId="60D467E7" w14:textId="33D6B76A">
            <w:pPr>
              <w:pStyle w:val="Normal"/>
            </w:pPr>
            <w:r w:rsidR="5761C6C1">
              <w:rPr/>
              <w:t>Staff from many locations participate</w:t>
            </w:r>
          </w:p>
        </w:tc>
        <w:tc>
          <w:tcPr>
            <w:tcW w:w="3435" w:type="dxa"/>
            <w:tcMar/>
          </w:tcPr>
          <w:p w:rsidR="045FB8A6" w:rsidP="045FB8A6" w:rsidRDefault="045FB8A6" w14:paraId="1B364C37" w14:textId="3AFDAFD5">
            <w:pPr>
              <w:pStyle w:val="Normal"/>
            </w:pPr>
            <w:r w:rsidR="045FB8A6">
              <w:rPr/>
              <w:t>Staff understand how Discover Summer supports CHPL in achieving organizational goals</w:t>
            </w:r>
          </w:p>
        </w:tc>
      </w:tr>
      <w:tr w:rsidR="045FB8A6" w:rsidTr="28FD4E21" w14:paraId="01AD0C7D">
        <w:tc>
          <w:tcPr>
            <w:tcW w:w="1380" w:type="dxa"/>
            <w:vMerge/>
            <w:tcMar/>
          </w:tcPr>
          <w:p w14:paraId="510C1B84"/>
        </w:tc>
        <w:tc>
          <w:tcPr>
            <w:tcW w:w="2205" w:type="dxa"/>
            <w:tcMar/>
          </w:tcPr>
          <w:p w:rsidR="045FB8A6" w:rsidP="045FB8A6" w:rsidRDefault="045FB8A6" w14:paraId="5AF21CDB" w14:textId="44C288AD">
            <w:pPr>
              <w:pStyle w:val="Normal"/>
              <w:bidi w:val="0"/>
              <w:rPr>
                <w:sz w:val="22"/>
                <w:szCs w:val="22"/>
              </w:rPr>
            </w:pPr>
            <w:r w:rsidRPr="045FB8A6" w:rsidR="045FB8A6">
              <w:rPr>
                <w:sz w:val="22"/>
                <w:szCs w:val="22"/>
              </w:rPr>
              <w:t>Host staff learning sessions throughout the year</w:t>
            </w:r>
          </w:p>
        </w:tc>
        <w:tc>
          <w:tcPr>
            <w:tcW w:w="2235" w:type="dxa"/>
            <w:tcMar/>
          </w:tcPr>
          <w:p w:rsidR="045FB8A6" w:rsidP="045FB8A6" w:rsidRDefault="045FB8A6" w14:paraId="742C09CC" w14:textId="6B60AB55">
            <w:pPr>
              <w:pStyle w:val="Normal"/>
            </w:pPr>
            <w:r w:rsidR="729BB890">
              <w:rPr/>
              <w:t>Each month leading up to Summer has a session on a particular topic</w:t>
            </w:r>
          </w:p>
        </w:tc>
        <w:tc>
          <w:tcPr>
            <w:tcW w:w="1668" w:type="dxa"/>
            <w:tcMar/>
          </w:tcPr>
          <w:p w:rsidR="045FB8A6" w:rsidP="045FB8A6" w:rsidRDefault="045FB8A6" w14:paraId="12199A84" w14:textId="59510020">
            <w:pPr>
              <w:pStyle w:val="Normal"/>
            </w:pPr>
            <w:r w:rsidR="729BB890">
              <w:rPr/>
              <w:t>Staff from each location participate</w:t>
            </w:r>
          </w:p>
        </w:tc>
        <w:tc>
          <w:tcPr>
            <w:tcW w:w="3435" w:type="dxa"/>
            <w:tcMar/>
          </w:tcPr>
          <w:p w:rsidR="045FB8A6" w:rsidP="045FB8A6" w:rsidRDefault="045FB8A6" w14:paraId="31E28DA5" w14:textId="62182A45">
            <w:pPr>
              <w:pStyle w:val="Normal"/>
              <w:ind w:left="0"/>
              <w:rPr>
                <w:sz w:val="22"/>
                <w:szCs w:val="22"/>
              </w:rPr>
            </w:pPr>
            <w:r w:rsidR="045FB8A6">
              <w:rPr/>
              <w:t>Staff are aligned around Discover Summer program goals and strategies for achieving goals together</w:t>
            </w:r>
          </w:p>
        </w:tc>
      </w:tr>
      <w:tr w:rsidR="045FB8A6" w:rsidTr="28FD4E21" w14:paraId="11CAC0A7">
        <w:tc>
          <w:tcPr>
            <w:tcW w:w="1380" w:type="dxa"/>
            <w:vMerge/>
            <w:tcMar/>
          </w:tcPr>
          <w:p w14:paraId="60A01399"/>
        </w:tc>
        <w:tc>
          <w:tcPr>
            <w:tcW w:w="2205" w:type="dxa"/>
            <w:tcMar/>
          </w:tcPr>
          <w:p w:rsidR="045FB8A6" w:rsidP="045FB8A6" w:rsidRDefault="045FB8A6" w14:paraId="67F2676E" w14:textId="4E5E3685">
            <w:pPr>
              <w:pStyle w:val="Normal"/>
              <w:rPr>
                <w:sz w:val="22"/>
                <w:szCs w:val="22"/>
              </w:rPr>
            </w:pPr>
            <w:r w:rsidRPr="045FB8A6" w:rsidR="045FB8A6">
              <w:rPr>
                <w:sz w:val="22"/>
                <w:szCs w:val="22"/>
              </w:rPr>
              <w:t>Tie staff training to social and emotional learning</w:t>
            </w:r>
          </w:p>
        </w:tc>
        <w:tc>
          <w:tcPr>
            <w:tcW w:w="2235" w:type="dxa"/>
            <w:tcMar/>
          </w:tcPr>
          <w:p w:rsidR="045FB8A6" w:rsidP="045FB8A6" w:rsidRDefault="045FB8A6" w14:paraId="4379F08A" w14:textId="588E50B6">
            <w:pPr>
              <w:pStyle w:val="Normal"/>
            </w:pPr>
            <w:r w:rsidR="07847D74">
              <w:rPr/>
              <w:t>Offer mentorship training for YS-related staff</w:t>
            </w:r>
          </w:p>
        </w:tc>
        <w:tc>
          <w:tcPr>
            <w:tcW w:w="1668" w:type="dxa"/>
            <w:tcMar/>
          </w:tcPr>
          <w:p w:rsidR="045FB8A6" w:rsidP="045FB8A6" w:rsidRDefault="045FB8A6" w14:paraId="1EC023D7" w14:textId="32167860">
            <w:pPr>
              <w:pStyle w:val="Normal"/>
            </w:pPr>
            <w:r w:rsidR="07847D74">
              <w:rPr/>
              <w:t>Staff from each location participate</w:t>
            </w:r>
          </w:p>
        </w:tc>
        <w:tc>
          <w:tcPr>
            <w:tcW w:w="3435" w:type="dxa"/>
            <w:tcMar/>
          </w:tcPr>
          <w:p w:rsidR="045FB8A6" w:rsidP="045FB8A6" w:rsidRDefault="045FB8A6" w14:paraId="645BEBDC" w14:textId="3864D814">
            <w:pPr>
              <w:pStyle w:val="Normal"/>
              <w:ind w:left="0"/>
              <w:rPr>
                <w:sz w:val="22"/>
                <w:szCs w:val="22"/>
              </w:rPr>
            </w:pPr>
            <w:r w:rsidR="045FB8A6">
              <w:rPr/>
              <w:t>Staff are prepared to support student SEL needs over the summer</w:t>
            </w:r>
          </w:p>
        </w:tc>
      </w:tr>
      <w:tr w:rsidR="28FD4E21" w:rsidTr="28FD4E21" w14:paraId="09D8253E">
        <w:trPr>
          <w:trHeight w:val="300"/>
        </w:trPr>
        <w:tc>
          <w:tcPr>
            <w:tcW w:w="1380" w:type="dxa"/>
            <w:vMerge/>
            <w:tcMar/>
            <w:vAlign w:val="center"/>
          </w:tcPr>
          <w:p w14:paraId="58C51C96"/>
        </w:tc>
        <w:tc>
          <w:tcPr>
            <w:tcW w:w="2205" w:type="dxa"/>
            <w:tcMar/>
          </w:tcPr>
          <w:p w:rsidR="6F6150D1" w:rsidP="28FD4E21" w:rsidRDefault="6F6150D1" w14:paraId="075E79E0" w14:textId="437207C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8FD4E21" w:rsidR="6F6150D1">
              <w:rPr>
                <w:sz w:val="22"/>
                <w:szCs w:val="22"/>
              </w:rPr>
              <w:t>Provide resources to support locations in offering welcoming spaces for youth to thrive</w:t>
            </w:r>
          </w:p>
        </w:tc>
        <w:tc>
          <w:tcPr>
            <w:tcW w:w="2235" w:type="dxa"/>
            <w:tcMar/>
          </w:tcPr>
          <w:p w:rsidR="5D442B03" w:rsidP="28FD4E21" w:rsidRDefault="5D442B03" w14:paraId="70BEAEB1" w14:textId="083A1045">
            <w:pPr>
              <w:pStyle w:val="Normal"/>
            </w:pPr>
            <w:r w:rsidR="5D442B03">
              <w:rPr/>
              <w:t>Schedule central presenters for Summer</w:t>
            </w:r>
          </w:p>
          <w:p w:rsidR="5D442B03" w:rsidP="28FD4E21" w:rsidRDefault="5D442B03" w14:paraId="4C569A9F" w14:textId="75F1D69E">
            <w:pPr>
              <w:pStyle w:val="Normal"/>
            </w:pPr>
            <w:r w:rsidR="5D442B03">
              <w:rPr/>
              <w:t>Purchase games &amp; activities for pop-up programs</w:t>
            </w:r>
          </w:p>
          <w:p w:rsidR="5D442B03" w:rsidP="28FD4E21" w:rsidRDefault="5D442B03" w14:paraId="5FFAB610" w14:textId="727659F9">
            <w:pPr>
              <w:pStyle w:val="Normal"/>
            </w:pPr>
            <w:r w:rsidR="5D442B03">
              <w:rPr/>
              <w:t>Purchase activity/engagement wheels for all locations</w:t>
            </w:r>
          </w:p>
        </w:tc>
        <w:tc>
          <w:tcPr>
            <w:tcW w:w="1668" w:type="dxa"/>
            <w:tcMar/>
          </w:tcPr>
          <w:p w:rsidR="5D442B03" w:rsidP="28FD4E21" w:rsidRDefault="5D442B03" w14:paraId="7B4247A1" w14:textId="269F3B36">
            <w:pPr>
              <w:pStyle w:val="Normal"/>
            </w:pPr>
            <w:r w:rsidR="5D442B03">
              <w:rPr/>
              <w:t>Invest equitably in locations based on need</w:t>
            </w:r>
          </w:p>
        </w:tc>
        <w:tc>
          <w:tcPr>
            <w:tcW w:w="3435" w:type="dxa"/>
            <w:tcMar/>
          </w:tcPr>
          <w:p w:rsidR="5D442B03" w:rsidP="28FD4E21" w:rsidRDefault="5D442B03" w14:paraId="6D85FED9" w14:textId="13BCDE3C">
            <w:pPr>
              <w:pStyle w:val="Normal"/>
            </w:pPr>
            <w:r w:rsidR="5D442B03">
              <w:rPr/>
              <w:t>Youth feel engaged and supported when they enter the Library</w:t>
            </w:r>
          </w:p>
        </w:tc>
      </w:tr>
      <w:tr w:rsidR="045FB8A6" w:rsidTr="28FD4E21" w14:paraId="109D6123">
        <w:tc>
          <w:tcPr>
            <w:tcW w:w="1380" w:type="dxa"/>
            <w:vMerge w:val="restart"/>
            <w:tcMar/>
            <w:vAlign w:val="center"/>
          </w:tcPr>
          <w:p w:rsidR="045FB8A6" w:rsidP="045FB8A6" w:rsidRDefault="045FB8A6" w14:paraId="06CBDBCE" w14:textId="278B1031">
            <w:pPr>
              <w:pStyle w:val="Normal"/>
              <w:jc w:val="center"/>
            </w:pPr>
            <w:r w:rsidR="045FB8A6">
              <w:rPr/>
              <w:t>Gather input from customers and staff</w:t>
            </w:r>
          </w:p>
        </w:tc>
        <w:tc>
          <w:tcPr>
            <w:tcW w:w="2205" w:type="dxa"/>
            <w:tcMar/>
          </w:tcPr>
          <w:p w:rsidR="045FB8A6" w:rsidP="045FB8A6" w:rsidRDefault="045FB8A6" w14:paraId="14F26DD0" w14:textId="272F8108">
            <w:pPr>
              <w:pStyle w:val="Normal"/>
              <w:bidi w:val="0"/>
              <w:spacing w:before="0" w:beforeAutospacing="off" w:after="160" w:afterAutospacing="off" w:line="259" w:lineRule="auto"/>
              <w:ind w:left="0" w:right="0"/>
              <w:jc w:val="left"/>
            </w:pPr>
            <w:r w:rsidR="045FB8A6">
              <w:rPr/>
              <w:t>Involve staff from each FMP Zone in Summer planning team</w:t>
            </w:r>
          </w:p>
        </w:tc>
        <w:tc>
          <w:tcPr>
            <w:tcW w:w="2235" w:type="dxa"/>
            <w:tcMar/>
          </w:tcPr>
          <w:p w:rsidR="045FB8A6" w:rsidP="045FB8A6" w:rsidRDefault="045FB8A6" w14:paraId="018B6E15" w14:textId="2B283FA1">
            <w:pPr>
              <w:pStyle w:val="Normal"/>
            </w:pPr>
            <w:r w:rsidR="045FB8A6">
              <w:rPr/>
              <w:t>Staff help set goals, communicate with fellow staff, and produce DS deliverables</w:t>
            </w:r>
          </w:p>
        </w:tc>
        <w:tc>
          <w:tcPr>
            <w:tcW w:w="1668" w:type="dxa"/>
            <w:tcMar/>
          </w:tcPr>
          <w:p w:rsidR="045FB8A6" w:rsidP="045FB8A6" w:rsidRDefault="045FB8A6" w14:paraId="1427C1B2" w14:textId="2591A5DA">
            <w:pPr>
              <w:pStyle w:val="Normal"/>
            </w:pPr>
            <w:r w:rsidR="045FB8A6">
              <w:rPr/>
              <w:t>5 from Service, 1 from Outreach</w:t>
            </w:r>
          </w:p>
        </w:tc>
        <w:tc>
          <w:tcPr>
            <w:tcW w:w="3435" w:type="dxa"/>
            <w:tcMar/>
          </w:tcPr>
          <w:p w:rsidR="045FB8A6" w:rsidP="045FB8A6" w:rsidRDefault="045FB8A6" w14:paraId="74135368" w14:textId="3ECB6120">
            <w:pPr>
              <w:pStyle w:val="Normal"/>
            </w:pPr>
            <w:r w:rsidR="045FB8A6">
              <w:rPr/>
              <w:t>System-wide representation and buy-in for DS</w:t>
            </w:r>
          </w:p>
        </w:tc>
      </w:tr>
      <w:tr w:rsidR="045FB8A6" w:rsidTr="28FD4E21" w14:paraId="46CED218">
        <w:tc>
          <w:tcPr>
            <w:tcW w:w="1380" w:type="dxa"/>
            <w:vMerge/>
            <w:tcMar/>
          </w:tcPr>
          <w:p w14:paraId="4BA17FAC"/>
        </w:tc>
        <w:tc>
          <w:tcPr>
            <w:tcW w:w="2205" w:type="dxa"/>
            <w:tcMar/>
          </w:tcPr>
          <w:p w:rsidR="045FB8A6" w:rsidP="045FB8A6" w:rsidRDefault="045FB8A6" w14:paraId="1FFF866F" w14:textId="30AAB093">
            <w:pPr>
              <w:pStyle w:val="Normal"/>
            </w:pPr>
            <w:r w:rsidR="045FB8A6">
              <w:rPr/>
              <w:t>Increase program “completion” rates</w:t>
            </w:r>
          </w:p>
        </w:tc>
        <w:tc>
          <w:tcPr>
            <w:tcW w:w="2235" w:type="dxa"/>
            <w:tcMar/>
          </w:tcPr>
          <w:p w:rsidR="045FB8A6" w:rsidP="045FB8A6" w:rsidRDefault="045FB8A6" w14:paraId="26241DDF" w14:textId="307E43E4">
            <w:pPr>
              <w:pStyle w:val="Normal"/>
            </w:pPr>
            <w:r w:rsidR="045FB8A6">
              <w:rPr/>
              <w:t>Strengthen check-in process to increase excitement among youth to continue learning</w:t>
            </w:r>
          </w:p>
        </w:tc>
        <w:tc>
          <w:tcPr>
            <w:tcW w:w="1668" w:type="dxa"/>
            <w:tcMar/>
          </w:tcPr>
          <w:p w:rsidR="045FB8A6" w:rsidP="045FB8A6" w:rsidRDefault="045FB8A6" w14:paraId="1592333B" w14:textId="48F243B8">
            <w:pPr>
              <w:pStyle w:val="Normal"/>
            </w:pPr>
            <w:r w:rsidR="045FB8A6">
              <w:rPr/>
              <w:t>From 5% in 2021 to 10% in 2022, to 20% in 2023</w:t>
            </w:r>
          </w:p>
        </w:tc>
        <w:tc>
          <w:tcPr>
            <w:tcW w:w="3435" w:type="dxa"/>
            <w:tcMar/>
          </w:tcPr>
          <w:p w:rsidR="045FB8A6" w:rsidP="045FB8A6" w:rsidRDefault="045FB8A6" w14:paraId="30553A7F" w14:textId="6937850C">
            <w:pPr>
              <w:pStyle w:val="Normal"/>
            </w:pPr>
            <w:r w:rsidR="045FB8A6">
              <w:rPr/>
              <w:t>More youth retain learning skills over the summer</w:t>
            </w:r>
          </w:p>
        </w:tc>
      </w:tr>
      <w:tr w:rsidR="045FB8A6" w:rsidTr="28FD4E21" w14:paraId="47DA526B">
        <w:tc>
          <w:tcPr>
            <w:tcW w:w="1380" w:type="dxa"/>
            <w:vMerge/>
            <w:tcMar/>
          </w:tcPr>
          <w:p w14:paraId="0BA578D4"/>
        </w:tc>
        <w:tc>
          <w:tcPr>
            <w:tcW w:w="2205" w:type="dxa"/>
            <w:tcMar/>
          </w:tcPr>
          <w:p w:rsidR="045FB8A6" w:rsidP="045FB8A6" w:rsidRDefault="045FB8A6" w14:paraId="747524B7" w14:textId="055D1172">
            <w:pPr>
              <w:pStyle w:val="Normal"/>
            </w:pPr>
            <w:r w:rsidR="045FB8A6">
              <w:rPr/>
              <w:t>Collect customer feedback</w:t>
            </w:r>
          </w:p>
        </w:tc>
        <w:tc>
          <w:tcPr>
            <w:tcW w:w="2235" w:type="dxa"/>
            <w:tcMar/>
          </w:tcPr>
          <w:p w:rsidR="045FB8A6" w:rsidP="045FB8A6" w:rsidRDefault="045FB8A6" w14:paraId="1ED20129" w14:textId="310FD668">
            <w:pPr>
              <w:pStyle w:val="Normal"/>
            </w:pPr>
            <w:r w:rsidR="045FB8A6">
              <w:rPr/>
              <w:t>Learn about community priorities and needs</w:t>
            </w:r>
          </w:p>
        </w:tc>
        <w:tc>
          <w:tcPr>
            <w:tcW w:w="1668" w:type="dxa"/>
            <w:tcMar/>
          </w:tcPr>
          <w:p w:rsidR="045FB8A6" w:rsidP="045FB8A6" w:rsidRDefault="045FB8A6" w14:paraId="4A9CC132" w14:textId="60E20601">
            <w:pPr>
              <w:pStyle w:val="Normal"/>
            </w:pPr>
            <w:r w:rsidR="045FB8A6">
              <w:rPr/>
              <w:t>3 mid-point focus groups and grand prize entry forms</w:t>
            </w:r>
          </w:p>
        </w:tc>
        <w:tc>
          <w:tcPr>
            <w:tcW w:w="3435" w:type="dxa"/>
            <w:tcMar/>
          </w:tcPr>
          <w:p w:rsidR="045FB8A6" w:rsidP="045FB8A6" w:rsidRDefault="045FB8A6" w14:paraId="167D3D1B" w14:textId="73792B8B">
            <w:pPr>
              <w:pStyle w:val="Normal"/>
            </w:pPr>
            <w:r w:rsidR="045FB8A6">
              <w:rPr/>
              <w:t>Community input helps shape DS year after year</w:t>
            </w:r>
          </w:p>
        </w:tc>
      </w:tr>
      <w:tr w:rsidR="045FB8A6" w:rsidTr="28FD4E21" w14:paraId="4C336B7D">
        <w:tc>
          <w:tcPr>
            <w:tcW w:w="1380" w:type="dxa"/>
            <w:vMerge/>
            <w:tcMar/>
          </w:tcPr>
          <w:p w14:paraId="18C3F1B7"/>
        </w:tc>
        <w:tc>
          <w:tcPr>
            <w:tcW w:w="2205" w:type="dxa"/>
            <w:tcMar/>
          </w:tcPr>
          <w:p w:rsidR="045FB8A6" w:rsidP="045FB8A6" w:rsidRDefault="045FB8A6" w14:paraId="38045069" w14:textId="49DE54BB">
            <w:pPr>
              <w:pStyle w:val="Normal"/>
              <w:rPr>
                <w:sz w:val="22"/>
                <w:szCs w:val="22"/>
              </w:rPr>
            </w:pPr>
            <w:r w:rsidR="045FB8A6">
              <w:rPr/>
              <w:t>Collect staff feedback</w:t>
            </w:r>
          </w:p>
        </w:tc>
        <w:tc>
          <w:tcPr>
            <w:tcW w:w="2235" w:type="dxa"/>
            <w:tcMar/>
          </w:tcPr>
          <w:p w:rsidR="045FB8A6" w:rsidP="045FB8A6" w:rsidRDefault="045FB8A6" w14:paraId="37F2673B" w14:textId="3A72E54C">
            <w:pPr>
              <w:pStyle w:val="Normal"/>
            </w:pPr>
            <w:r w:rsidR="045FB8A6">
              <w:rPr/>
              <w:t>Learn about community priorities and needs</w:t>
            </w:r>
          </w:p>
        </w:tc>
        <w:tc>
          <w:tcPr>
            <w:tcW w:w="1668" w:type="dxa"/>
            <w:tcMar/>
          </w:tcPr>
          <w:p w:rsidR="045FB8A6" w:rsidP="045FB8A6" w:rsidRDefault="045FB8A6" w14:paraId="6D0F27AD" w14:textId="4AE74CB3">
            <w:pPr>
              <w:pStyle w:val="Normal"/>
              <w:rPr>
                <w:sz w:val="22"/>
                <w:szCs w:val="22"/>
              </w:rPr>
            </w:pPr>
            <w:r w:rsidR="045FB8A6">
              <w:rPr/>
              <w:t>Mid-point and wrap-up surveys</w:t>
            </w:r>
          </w:p>
        </w:tc>
        <w:tc>
          <w:tcPr>
            <w:tcW w:w="3435" w:type="dxa"/>
            <w:tcMar/>
          </w:tcPr>
          <w:p w:rsidR="045FB8A6" w:rsidP="045FB8A6" w:rsidRDefault="045FB8A6" w14:paraId="6C01280C" w14:textId="1C193B88">
            <w:pPr>
              <w:pStyle w:val="Normal"/>
            </w:pPr>
            <w:r w:rsidR="045FB8A6">
              <w:rPr/>
              <w:t>Staff expertise helps shape DS year after year</w:t>
            </w:r>
          </w:p>
        </w:tc>
      </w:tr>
    </w:tbl>
    <w:p w:rsidR="045FB8A6" w:rsidP="045FB8A6" w:rsidRDefault="045FB8A6" w14:paraId="5FE93F16" w14:textId="69D39C57">
      <w:pPr>
        <w:pStyle w:val="Normal"/>
        <w:rPr>
          <w:b w:val="1"/>
          <w:bCs w:val="1"/>
        </w:rPr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3599ec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81c6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023a0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nsid w:val="50e9de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233198"/>
    <w:rsid w:val="028AF86E"/>
    <w:rsid w:val="0362DEBA"/>
    <w:rsid w:val="038F7016"/>
    <w:rsid w:val="039915CB"/>
    <w:rsid w:val="03AFCCC3"/>
    <w:rsid w:val="045FB8A6"/>
    <w:rsid w:val="053F1D12"/>
    <w:rsid w:val="058617D2"/>
    <w:rsid w:val="06FAE738"/>
    <w:rsid w:val="07847D74"/>
    <w:rsid w:val="0A6E9A2F"/>
    <w:rsid w:val="0AC7D4EB"/>
    <w:rsid w:val="0C1D59B1"/>
    <w:rsid w:val="0C31DAB4"/>
    <w:rsid w:val="0C7B27C1"/>
    <w:rsid w:val="0D233198"/>
    <w:rsid w:val="0D84B32E"/>
    <w:rsid w:val="0DCDAB15"/>
    <w:rsid w:val="0DE09CE7"/>
    <w:rsid w:val="0E9F28B4"/>
    <w:rsid w:val="0F2CFA18"/>
    <w:rsid w:val="0F7C6D48"/>
    <w:rsid w:val="1012705B"/>
    <w:rsid w:val="102CCCE3"/>
    <w:rsid w:val="1137166F"/>
    <w:rsid w:val="119927E3"/>
    <w:rsid w:val="12649ADA"/>
    <w:rsid w:val="128ABF7E"/>
    <w:rsid w:val="12C6546D"/>
    <w:rsid w:val="131C7830"/>
    <w:rsid w:val="132AA474"/>
    <w:rsid w:val="13BBC866"/>
    <w:rsid w:val="1424F40B"/>
    <w:rsid w:val="143CEC99"/>
    <w:rsid w:val="14CC6A1D"/>
    <w:rsid w:val="1608E1AA"/>
    <w:rsid w:val="1616792F"/>
    <w:rsid w:val="16B35790"/>
    <w:rsid w:val="174C2CA6"/>
    <w:rsid w:val="17B8555A"/>
    <w:rsid w:val="1A9857D2"/>
    <w:rsid w:val="1AAC2E1D"/>
    <w:rsid w:val="1B089857"/>
    <w:rsid w:val="1B816146"/>
    <w:rsid w:val="1B94447E"/>
    <w:rsid w:val="1BB12BE7"/>
    <w:rsid w:val="1BBFB88A"/>
    <w:rsid w:val="1C95DE17"/>
    <w:rsid w:val="1D5463AC"/>
    <w:rsid w:val="1EC710DC"/>
    <w:rsid w:val="1FAED680"/>
    <w:rsid w:val="1FFD92AE"/>
    <w:rsid w:val="21704C2A"/>
    <w:rsid w:val="21EF1393"/>
    <w:rsid w:val="22AEAC92"/>
    <w:rsid w:val="236628A9"/>
    <w:rsid w:val="24460E47"/>
    <w:rsid w:val="25409CCB"/>
    <w:rsid w:val="2546D356"/>
    <w:rsid w:val="2673D19F"/>
    <w:rsid w:val="2697A24F"/>
    <w:rsid w:val="26AC487C"/>
    <w:rsid w:val="26F5FA30"/>
    <w:rsid w:val="270376B5"/>
    <w:rsid w:val="27E1BFD7"/>
    <w:rsid w:val="27F703F9"/>
    <w:rsid w:val="28929A6B"/>
    <w:rsid w:val="28FD4E21"/>
    <w:rsid w:val="29181252"/>
    <w:rsid w:val="29EABF62"/>
    <w:rsid w:val="2AF7AAB2"/>
    <w:rsid w:val="2B4742C2"/>
    <w:rsid w:val="2C8A143E"/>
    <w:rsid w:val="2CA3CC03"/>
    <w:rsid w:val="2CBB22F4"/>
    <w:rsid w:val="2CFE5481"/>
    <w:rsid w:val="2D40AA64"/>
    <w:rsid w:val="2FD98B09"/>
    <w:rsid w:val="30FFDB24"/>
    <w:rsid w:val="320C2E01"/>
    <w:rsid w:val="3331BB8C"/>
    <w:rsid w:val="34B46390"/>
    <w:rsid w:val="34DF4ED5"/>
    <w:rsid w:val="359FF033"/>
    <w:rsid w:val="35AD3B57"/>
    <w:rsid w:val="35D249A1"/>
    <w:rsid w:val="36072030"/>
    <w:rsid w:val="363791B6"/>
    <w:rsid w:val="36A60040"/>
    <w:rsid w:val="36D22C0F"/>
    <w:rsid w:val="36DF9F24"/>
    <w:rsid w:val="36F8415F"/>
    <w:rsid w:val="375E792D"/>
    <w:rsid w:val="3777A18A"/>
    <w:rsid w:val="37B4D24D"/>
    <w:rsid w:val="37EC0452"/>
    <w:rsid w:val="38835D0B"/>
    <w:rsid w:val="38BEFF76"/>
    <w:rsid w:val="39D5C107"/>
    <w:rsid w:val="3A0EAC76"/>
    <w:rsid w:val="3A52C2CB"/>
    <w:rsid w:val="3ACB8413"/>
    <w:rsid w:val="3B3F9280"/>
    <w:rsid w:val="3B7EA157"/>
    <w:rsid w:val="3C5B1DB5"/>
    <w:rsid w:val="3C886482"/>
    <w:rsid w:val="3D012473"/>
    <w:rsid w:val="3D830A83"/>
    <w:rsid w:val="3F672BD2"/>
    <w:rsid w:val="3FB5EFFC"/>
    <w:rsid w:val="3FE39D94"/>
    <w:rsid w:val="40420173"/>
    <w:rsid w:val="4086816A"/>
    <w:rsid w:val="40B25073"/>
    <w:rsid w:val="42339EF3"/>
    <w:rsid w:val="423D95CA"/>
    <w:rsid w:val="4360C0D2"/>
    <w:rsid w:val="43AFB2F8"/>
    <w:rsid w:val="43C60FB2"/>
    <w:rsid w:val="43EB66D2"/>
    <w:rsid w:val="4489611F"/>
    <w:rsid w:val="44D8AA42"/>
    <w:rsid w:val="45283A46"/>
    <w:rsid w:val="45D917A1"/>
    <w:rsid w:val="46253180"/>
    <w:rsid w:val="47FF35AF"/>
    <w:rsid w:val="498737FE"/>
    <w:rsid w:val="49909D67"/>
    <w:rsid w:val="4A355136"/>
    <w:rsid w:val="4C09CA47"/>
    <w:rsid w:val="4C7B4AA7"/>
    <w:rsid w:val="4CD5E619"/>
    <w:rsid w:val="4D0D3B3B"/>
    <w:rsid w:val="4D2990AF"/>
    <w:rsid w:val="4D645E88"/>
    <w:rsid w:val="4D82E2BF"/>
    <w:rsid w:val="4D98C169"/>
    <w:rsid w:val="4DA12483"/>
    <w:rsid w:val="4E478C8E"/>
    <w:rsid w:val="4EB04CD0"/>
    <w:rsid w:val="4EBE7911"/>
    <w:rsid w:val="4F3CEC34"/>
    <w:rsid w:val="4FE35CEF"/>
    <w:rsid w:val="4FED8CA1"/>
    <w:rsid w:val="50385FC5"/>
    <w:rsid w:val="5092B0FE"/>
    <w:rsid w:val="51DAF603"/>
    <w:rsid w:val="535FEE68"/>
    <w:rsid w:val="53B97E41"/>
    <w:rsid w:val="53DC337C"/>
    <w:rsid w:val="54105D57"/>
    <w:rsid w:val="54568B70"/>
    <w:rsid w:val="547A4CB4"/>
    <w:rsid w:val="552DBA95"/>
    <w:rsid w:val="555C7A06"/>
    <w:rsid w:val="557A1F7F"/>
    <w:rsid w:val="55D46E17"/>
    <w:rsid w:val="56322103"/>
    <w:rsid w:val="5761C6C1"/>
    <w:rsid w:val="58CAA61D"/>
    <w:rsid w:val="597246A7"/>
    <w:rsid w:val="598A3F35"/>
    <w:rsid w:val="5A1E74C4"/>
    <w:rsid w:val="5A8EB6DD"/>
    <w:rsid w:val="5AF1EF76"/>
    <w:rsid w:val="5B1FD90B"/>
    <w:rsid w:val="5B787349"/>
    <w:rsid w:val="5BE96103"/>
    <w:rsid w:val="5C1A87D8"/>
    <w:rsid w:val="5C6C363C"/>
    <w:rsid w:val="5D442B03"/>
    <w:rsid w:val="5D56C33C"/>
    <w:rsid w:val="5D8315C2"/>
    <w:rsid w:val="5D947E95"/>
    <w:rsid w:val="5DBE4A51"/>
    <w:rsid w:val="5E08069D"/>
    <w:rsid w:val="5E55C2D2"/>
    <w:rsid w:val="5E5D3572"/>
    <w:rsid w:val="5EA9A83D"/>
    <w:rsid w:val="5EF3DC0A"/>
    <w:rsid w:val="5F4B6781"/>
    <w:rsid w:val="60D41B4F"/>
    <w:rsid w:val="60D894D1"/>
    <w:rsid w:val="6105E5E7"/>
    <w:rsid w:val="6164302F"/>
    <w:rsid w:val="61A160F2"/>
    <w:rsid w:val="627570BE"/>
    <w:rsid w:val="633D3153"/>
    <w:rsid w:val="63B32967"/>
    <w:rsid w:val="64103593"/>
    <w:rsid w:val="6436E4B9"/>
    <w:rsid w:val="64521F62"/>
    <w:rsid w:val="653610FB"/>
    <w:rsid w:val="65FB70EB"/>
    <w:rsid w:val="67567966"/>
    <w:rsid w:val="67AEE8E3"/>
    <w:rsid w:val="67E680BA"/>
    <w:rsid w:val="6804929E"/>
    <w:rsid w:val="6810A276"/>
    <w:rsid w:val="68A2ABD6"/>
    <w:rsid w:val="68C7E40B"/>
    <w:rsid w:val="6947E352"/>
    <w:rsid w:val="6A664EBA"/>
    <w:rsid w:val="6B339FF0"/>
    <w:rsid w:val="6B3C3360"/>
    <w:rsid w:val="6BE65C70"/>
    <w:rsid w:val="6C38B44E"/>
    <w:rsid w:val="6C9FF597"/>
    <w:rsid w:val="6E8D53F8"/>
    <w:rsid w:val="6F39A72A"/>
    <w:rsid w:val="6F6150D1"/>
    <w:rsid w:val="72112690"/>
    <w:rsid w:val="729BB890"/>
    <w:rsid w:val="74FE1724"/>
    <w:rsid w:val="763A69A3"/>
    <w:rsid w:val="79E30827"/>
    <w:rsid w:val="7CC4F426"/>
    <w:rsid w:val="7CD6B629"/>
    <w:rsid w:val="7D078C56"/>
    <w:rsid w:val="7EA35CB7"/>
    <w:rsid w:val="7F649282"/>
    <w:rsid w:val="7F94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33198"/>
  <w15:chartTrackingRefBased/>
  <w15:docId w15:val="{D36C3B41-5035-43D7-B2B6-7E4DE9FE61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numbering" Target="numbering.xml" Id="R90b4e677efbf4d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6594EB0AA404296E6E3840E8FE17D" ma:contentTypeVersion="16" ma:contentTypeDescription="Create a new document." ma:contentTypeScope="" ma:versionID="ee19c021b878109ff6f7333bc2ac200e">
  <xsd:schema xmlns:xsd="http://www.w3.org/2001/XMLSchema" xmlns:xs="http://www.w3.org/2001/XMLSchema" xmlns:p="http://schemas.microsoft.com/office/2006/metadata/properties" xmlns:ns2="16f2b8b0-9928-436a-9f81-b6c28800970e" xmlns:ns3="d7c1c5c8-6ff9-4c73-a7b5-50ebc6115c06" targetNamespace="http://schemas.microsoft.com/office/2006/metadata/properties" ma:root="true" ma:fieldsID="393d7dfd9da112a5ae44925aa0c291a5" ns2:_="" ns3:_="">
    <xsd:import namespace="16f2b8b0-9928-436a-9f81-b6c28800970e"/>
    <xsd:import namespace="d7c1c5c8-6ff9-4c73-a7b5-50ebc6115c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2b8b0-9928-436a-9f81-b6c288009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c434fe-aa28-49a3-bc82-f7c5250143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1c5c8-6ff9-4c73-a7b5-50ebc6115c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bdf30a-45ba-49c6-af30-7314b93247c9}" ma:internalName="TaxCatchAll" ma:showField="CatchAllData" ma:web="d7c1c5c8-6ff9-4c73-a7b5-50ebc6115c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c1c5c8-6ff9-4c73-a7b5-50ebc6115c06" xsi:nil="true"/>
    <lcf76f155ced4ddcb4097134ff3c332f xmlns="16f2b8b0-9928-436a-9f81-b6c2880097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444C12-903A-4310-BC96-B7F62FA432F0}"/>
</file>

<file path=customXml/itemProps2.xml><?xml version="1.0" encoding="utf-8"?>
<ds:datastoreItem xmlns:ds="http://schemas.openxmlformats.org/officeDocument/2006/customXml" ds:itemID="{312188FD-5C03-4D1F-A6D3-7836DB69AF3D}"/>
</file>

<file path=customXml/itemProps3.xml><?xml version="1.0" encoding="utf-8"?>
<ds:datastoreItem xmlns:ds="http://schemas.openxmlformats.org/officeDocument/2006/customXml" ds:itemID="{96972658-5044-4107-BB62-E7950074F47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Killman, Maggie</dc:creator>
  <keywords/>
  <dc:description/>
  <lastModifiedBy>Killman, Maggie</lastModifiedBy>
  <dcterms:created xsi:type="dcterms:W3CDTF">2021-10-25T16:18:13.0000000Z</dcterms:created>
  <dcterms:modified xsi:type="dcterms:W3CDTF">2023-01-10T20:55:31.7922704Z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0x0101004856594EB0AA404296E6E3840E8FE17D</vt:lpwstr>
  </property>
  <property fmtid="{D5CDD505-2E9C-101B-9397-08002B2CF9AE}" pid="3" name="MediaServiceImageTags">
    <vt:lpwstr/>
  </property>
</Properties>
</file>